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20.08.2020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98" w:right="86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роботи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зверненнями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громадян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структурних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підрозділах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її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виконавчому комітеті у І півріччі 2020 року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порівнянні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аналогічним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періодом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2019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року</w:t>
            </w:r>
          </w:p>
        </w:tc>
        <w:tc>
          <w:tcPr>
            <w:tcW w:w="663" w:type="dxa"/>
          </w:tcPr>
          <w:p>
            <w:pPr>
              <w:pStyle w:val="TableParagraph"/>
              <w:ind w:left="208"/>
              <w:jc w:val="left"/>
              <w:rPr>
                <w:sz w:val="17"/>
              </w:rPr>
            </w:pPr>
            <w:r>
              <w:rPr>
                <w:sz w:val="17"/>
              </w:rPr>
              <w:t>145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2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впровадження</w:t>
            </w:r>
            <w:r>
              <w:rPr>
                <w:spacing w:val="53"/>
                <w:sz w:val="17"/>
              </w:rPr>
              <w:t> </w:t>
            </w:r>
            <w:r>
              <w:rPr>
                <w:sz w:val="17"/>
              </w:rPr>
              <w:t>енергоефективних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бюджетних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установах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півріччя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року</w:t>
            </w:r>
          </w:p>
        </w:tc>
        <w:tc>
          <w:tcPr>
            <w:tcW w:w="663" w:type="dxa"/>
          </w:tcPr>
          <w:p>
            <w:pPr>
              <w:pStyle w:val="TableParagraph"/>
              <w:ind w:left="208"/>
              <w:jc w:val="left"/>
              <w:rPr>
                <w:sz w:val="17"/>
              </w:rPr>
            </w:pPr>
            <w:r>
              <w:rPr>
                <w:sz w:val="17"/>
              </w:rPr>
              <w:t>146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147/1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147/2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147/3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88" w:val="left" w:leader="none"/>
                <w:tab w:pos="2004" w:val="left" w:leader="none"/>
                <w:tab w:pos="2652" w:val="left" w:leader="none"/>
                <w:tab w:pos="3180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влаштування</w:t>
              <w:tab/>
              <w:t>(…)</w:t>
              <w:tab/>
              <w:t>до</w:t>
              <w:tab/>
              <w:t>ДНЗ</w:t>
            </w:r>
          </w:p>
          <w:p>
            <w:pPr>
              <w:pStyle w:val="TableParagraph"/>
              <w:spacing w:line="220" w:lineRule="atLeast" w:before="0"/>
              <w:ind w:right="12"/>
              <w:jc w:val="left"/>
              <w:rPr>
                <w:sz w:val="17"/>
              </w:rPr>
            </w:pPr>
            <w:r>
              <w:rPr>
                <w:sz w:val="17"/>
              </w:rPr>
              <w:t>«Мелітопольське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вище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професійне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училище»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 повне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державне 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147/4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«Запорізький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обласний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спеціалізований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будинок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«Сонечко»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147/5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«Запорізький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обласний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спеціалізований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будинок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«Сонечко»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147/6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державного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закладу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147/7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14.02.2019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27/1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«Про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встановлення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дитині»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147/8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 області від 04.06.2020 № 91/1 «Про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«Бердянська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загальноосвітня санаторна школа-інтернат І-ІІІ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ступенів»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утримання»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147/9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147/10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147/11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147/12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усиновлення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відповідність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його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інтересам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дитини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147/13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147/14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192" w:lineRule="exact"/>
        <w:rPr>
          <w:sz w:val="17"/>
        </w:rPr>
        <w:sectPr>
          <w:type w:val="continuous"/>
          <w:pgSz w:w="12240" w:h="15840"/>
          <w:pgMar w:top="1020" w:bottom="1407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147/15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88" w:val="left" w:leader="none"/>
                <w:tab w:pos="2004" w:val="left" w:leader="none"/>
                <w:tab w:pos="2652" w:val="left" w:leader="none"/>
                <w:tab w:pos="3180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влаштування</w:t>
              <w:tab/>
              <w:t>(…)</w:t>
              <w:tab/>
              <w:t>до</w:t>
              <w:tab/>
              <w:t>ДНЗ</w:t>
            </w:r>
          </w:p>
          <w:p>
            <w:pPr>
              <w:pStyle w:val="TableParagraph"/>
              <w:tabs>
                <w:tab w:pos="1648" w:val="left" w:leader="none"/>
                <w:tab w:pos="2839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«Мелітопольський</w:t>
              <w:tab/>
              <w:t>професійний</w:t>
              <w:tab/>
              <w:t>аграрний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ліцей»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повне державне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147/16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втрату  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чинності  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рішення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13.02.2020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19/4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147/17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подання  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до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суду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доцільності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опікуна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148/1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помічника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148/2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6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 18.06.2020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№ 105/1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148/3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поховання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149/1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Положення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комісію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житлової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субсидії,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наданню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пільг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фактичним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місцем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проживання,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виходячи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конкретних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обставин,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новій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редакції,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 рішень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14.11.2019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231/2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02.04.2020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67/4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149/2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149/3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149/4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планового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контингенту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учнів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погодження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розміру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оплати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навчання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мистецьких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школах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2020-2021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навчальний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рік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квартирний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облік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151/1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прийняття</w:t>
              <w:tab/>
              <w:t>на</w:t>
              <w:tab/>
              <w:t>квартирний</w:t>
              <w:tab/>
              <w:t>облік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осіб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151/2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зміну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умов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квартирному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обліку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151/3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  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змін  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у  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справу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квартирного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обліку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151/4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ордерів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житлові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приміщення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внутрішньо переміщеним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особам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151/5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квартир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службового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житла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службового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житла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151/6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квартирного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обліку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151/7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житлово-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господарства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КП</w:t>
            </w:r>
          </w:p>
          <w:p>
            <w:pPr>
              <w:pStyle w:val="TableParagraph"/>
              <w:spacing w:line="271" w:lineRule="auto" w:before="0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«Мелітопольський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парк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культури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відпочинку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ім.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Горького»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господарського відання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152/1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КУ «Центр первинної медико-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санітарної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№1»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КНП</w:t>
            </w:r>
          </w:p>
          <w:p>
            <w:pPr>
              <w:pStyle w:val="TableParagraph"/>
              <w:tabs>
                <w:tab w:pos="1034" w:val="left" w:leader="none"/>
                <w:tab w:pos="1528" w:val="left" w:leader="none"/>
                <w:tab w:pos="2724" w:val="left" w:leader="none"/>
                <w:tab w:pos="3358" w:val="left" w:leader="none"/>
              </w:tabs>
              <w:spacing w:line="271" w:lineRule="auto" w:before="0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«Центр</w:t>
              <w:tab/>
              <w:t>лікувально-діагностичної</w:t>
              <w:tab/>
              <w:t>та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лабораторної</w:t>
              <w:tab/>
              <w:tab/>
              <w:t>медичної</w:t>
              <w:tab/>
              <w:t>допомоги»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152/2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КНП «Центр первинної медико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санітарної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№2»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53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КУ</w:t>
            </w:r>
          </w:p>
          <w:p>
            <w:pPr>
              <w:pStyle w:val="TableParagraph"/>
              <w:spacing w:line="271" w:lineRule="auto" w:before="0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«Інформаційно-аналітичний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центр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статистики»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  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області  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  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правом  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152/3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територіальним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центром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соціального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обслуговування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КНП</w:t>
            </w:r>
          </w:p>
          <w:p>
            <w:pPr>
              <w:pStyle w:val="TableParagraph"/>
              <w:spacing w:line="271" w:lineRule="auto" w:before="0"/>
              <w:ind w:right="6"/>
              <w:jc w:val="both"/>
              <w:rPr>
                <w:sz w:val="17"/>
              </w:rPr>
            </w:pPr>
            <w:r>
              <w:rPr>
                <w:sz w:val="17"/>
              </w:rPr>
              <w:t>«Медичний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центр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комплексної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реабілітації»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152/4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 на баланси Мелітопольського навчально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виховного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комплексу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16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 загальноосвітньої школи І-ІІІ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ступенів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24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152/5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384" w:val="left" w:leader="none"/>
                <w:tab w:pos="2719" w:val="left" w:leader="none"/>
              </w:tabs>
              <w:spacing w:line="271" w:lineRule="auto"/>
              <w:ind w:right="12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протоколу від 30.07.2020 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 засідання конкурсного комітету з визначення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автомобільних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перевізників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автобусних</w:t>
              <w:tab/>
              <w:t>маршрутах</w:t>
              <w:tab/>
              <w:t>загального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користування,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які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проходять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межах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міста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153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підготовчих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заходів,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пов’язаних з медичним оглядом, обстеженням,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лікуванням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вивченням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призовників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1993-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2002 року народження, які підлягають призову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строкову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службу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восени 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року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154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дислокацію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місць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розміщення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передвиборної агітації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місті Мелітополі під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час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чергових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місцевих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виборів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25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жовтня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року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155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контролю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12.12.2019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257,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13.02.2020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31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від 16.04.2020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73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156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20/08/2020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не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оприлюднюється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та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недієздатних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осіб</w:t>
            </w:r>
          </w:p>
        </w:tc>
      </w:tr>
    </w:tbl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2021-09-14T19:02:05Z</dcterms:created>
  <dcterms:modified xsi:type="dcterms:W3CDTF">2021-09-14T19:02:05Z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